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60" w:rsidRPr="005C003E" w:rsidRDefault="00AA1E60" w:rsidP="00AA1E60">
      <w:pPr>
        <w:pStyle w:val="formattext"/>
        <w:spacing w:before="0" w:beforeAutospacing="0" w:after="0" w:afterAutospacing="0" w:line="276" w:lineRule="auto"/>
        <w:ind w:left="709" w:right="814"/>
        <w:jc w:val="right"/>
        <w:textAlignment w:val="baseline"/>
      </w:pPr>
      <w:r w:rsidRPr="005C003E">
        <w:t>Приложение №24</w:t>
      </w:r>
    </w:p>
    <w:p w:rsidR="00AA1E60" w:rsidRDefault="00AA1E60" w:rsidP="00AA1E60">
      <w:pPr>
        <w:pStyle w:val="formattext"/>
        <w:spacing w:before="0" w:beforeAutospacing="0" w:after="0" w:afterAutospacing="0" w:line="276" w:lineRule="auto"/>
        <w:ind w:left="709" w:right="814"/>
        <w:jc w:val="right"/>
        <w:textAlignment w:val="baseline"/>
        <w:rPr>
          <w:b/>
          <w:sz w:val="26"/>
          <w:szCs w:val="26"/>
        </w:rPr>
      </w:pPr>
    </w:p>
    <w:p w:rsidR="00C66B67" w:rsidRDefault="00C66B67" w:rsidP="00C66B67">
      <w:pPr>
        <w:pStyle w:val="formattext"/>
        <w:spacing w:before="0" w:beforeAutospacing="0" w:after="0" w:afterAutospacing="0" w:line="276" w:lineRule="auto"/>
        <w:ind w:left="709" w:right="814"/>
        <w:jc w:val="center"/>
        <w:textAlignment w:val="baseline"/>
        <w:rPr>
          <w:b/>
          <w:sz w:val="26"/>
          <w:szCs w:val="26"/>
        </w:rPr>
      </w:pPr>
      <w:r w:rsidRPr="000B2949">
        <w:rPr>
          <w:b/>
          <w:sz w:val="26"/>
          <w:szCs w:val="26"/>
        </w:rPr>
        <w:t xml:space="preserve"> «</w:t>
      </w:r>
      <w:r w:rsidR="000B2949">
        <w:rPr>
          <w:b/>
          <w:sz w:val="26"/>
          <w:szCs w:val="26"/>
        </w:rPr>
        <w:t>ООПТ</w:t>
      </w:r>
      <w:r w:rsidR="00AA1E60">
        <w:rPr>
          <w:b/>
          <w:sz w:val="26"/>
          <w:szCs w:val="26"/>
        </w:rPr>
        <w:t xml:space="preserve"> </w:t>
      </w:r>
      <w:r w:rsidR="000B2949">
        <w:rPr>
          <w:b/>
          <w:sz w:val="26"/>
          <w:szCs w:val="26"/>
        </w:rPr>
        <w:t>- зеленые острова мега полиса</w:t>
      </w:r>
      <w:r w:rsidRPr="000B2949">
        <w:rPr>
          <w:b/>
          <w:sz w:val="26"/>
          <w:szCs w:val="26"/>
        </w:rPr>
        <w:t>»</w:t>
      </w:r>
    </w:p>
    <w:p w:rsidR="0064225E" w:rsidRDefault="00AA1E60" w:rsidP="00C66B67">
      <w:pPr>
        <w:pStyle w:val="formattext"/>
        <w:spacing w:before="0" w:beforeAutospacing="0" w:after="0" w:afterAutospacing="0" w:line="276" w:lineRule="auto"/>
        <w:ind w:left="709" w:right="814"/>
        <w:jc w:val="center"/>
        <w:textAlignment w:val="baseline"/>
        <w:rPr>
          <w:sz w:val="26"/>
          <w:szCs w:val="26"/>
        </w:rPr>
      </w:pPr>
      <w:r w:rsidRPr="00AA1E60">
        <w:rPr>
          <w:sz w:val="26"/>
          <w:szCs w:val="26"/>
        </w:rPr>
        <w:t xml:space="preserve">(виртуальное путешествие) </w:t>
      </w:r>
    </w:p>
    <w:p w:rsidR="0064225E" w:rsidRDefault="0064225E" w:rsidP="00C66B67">
      <w:pPr>
        <w:pStyle w:val="formattext"/>
        <w:spacing w:before="0" w:beforeAutospacing="0" w:after="0" w:afterAutospacing="0" w:line="276" w:lineRule="auto"/>
        <w:ind w:left="709" w:right="814"/>
        <w:jc w:val="center"/>
        <w:textAlignment w:val="baseline"/>
        <w:rPr>
          <w:sz w:val="26"/>
          <w:szCs w:val="26"/>
        </w:rPr>
      </w:pPr>
    </w:p>
    <w:p w:rsidR="0064225E" w:rsidRDefault="00AA1E60" w:rsidP="0064225E">
      <w:pPr>
        <w:pStyle w:val="a5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AA1E60">
        <w:rPr>
          <w:sz w:val="26"/>
          <w:szCs w:val="26"/>
        </w:rPr>
        <w:t xml:space="preserve"> </w:t>
      </w:r>
      <w:r w:rsidR="0064225E" w:rsidRPr="009976C7">
        <w:rPr>
          <w:rFonts w:ascii="Times New Roman" w:hAnsi="Times New Roman" w:cs="Times New Roman"/>
          <w:bCs/>
          <w:i/>
          <w:sz w:val="28"/>
          <w:szCs w:val="28"/>
        </w:rPr>
        <w:t>Авторский коллектив</w:t>
      </w:r>
    </w:p>
    <w:p w:rsidR="0064225E" w:rsidRPr="009976C7" w:rsidRDefault="0064225E" w:rsidP="0064225E">
      <w:pPr>
        <w:pStyle w:val="a5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МБУ ДО «ЦЭБО»</w:t>
      </w:r>
    </w:p>
    <w:p w:rsidR="00AA1E60" w:rsidRPr="00AA1E60" w:rsidRDefault="00AA1E60" w:rsidP="00C66B67">
      <w:pPr>
        <w:pStyle w:val="formattext"/>
        <w:spacing w:before="0" w:beforeAutospacing="0" w:after="0" w:afterAutospacing="0" w:line="276" w:lineRule="auto"/>
        <w:ind w:left="709" w:right="814"/>
        <w:jc w:val="center"/>
        <w:textAlignment w:val="baseline"/>
        <w:rPr>
          <w:sz w:val="26"/>
          <w:szCs w:val="26"/>
        </w:rPr>
      </w:pPr>
    </w:p>
    <w:p w:rsidR="00C66B67" w:rsidRDefault="00C66B67" w:rsidP="00C66B67">
      <w:pPr>
        <w:pStyle w:val="11"/>
        <w:spacing w:line="276" w:lineRule="auto"/>
        <w:ind w:left="0" w:right="814"/>
        <w:rPr>
          <w:b w:val="0"/>
        </w:rPr>
      </w:pP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D3CA8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29210</wp:posOffset>
            </wp:positionV>
            <wp:extent cx="1082040" cy="1285875"/>
            <wp:effectExtent l="19050" t="0" r="3810" b="0"/>
            <wp:wrapThrough wrapText="bothSides">
              <wp:wrapPolygon edited="0">
                <wp:start x="-380" y="0"/>
                <wp:lineTo x="-380" y="21440"/>
                <wp:lineTo x="21676" y="21440"/>
                <wp:lineTo x="21676" y="0"/>
                <wp:lineTo x="-380" y="0"/>
              </wp:wrapPolygon>
            </wp:wrapThrough>
            <wp:docPr id="55" name="Рисунок 55" descr="C:\Documents and Settings\Пользователь\Рабочий стол\картинки\iшш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Пользователь\Рабочий стол\картинки\iшшш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216AD6">
        <w:rPr>
          <w:sz w:val="26"/>
          <w:szCs w:val="26"/>
        </w:rPr>
        <w:t>Старооскольский</w:t>
      </w:r>
      <w:proofErr w:type="spellEnd"/>
      <w:r w:rsidRPr="00216AD6">
        <w:rPr>
          <w:sz w:val="26"/>
          <w:szCs w:val="26"/>
        </w:rPr>
        <w:t xml:space="preserve"> городской округ расположен в северо-восточной части Белгородской области на Средне-Русской возвышенности в регионе с высокоразвитым горнодобывающим производством железорудного бассейна КМА, строительной индустрией и интенсивным сельским хозяйством.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16AD6">
        <w:rPr>
          <w:sz w:val="26"/>
          <w:szCs w:val="26"/>
        </w:rPr>
        <w:t xml:space="preserve">Территория </w:t>
      </w:r>
      <w:proofErr w:type="spellStart"/>
      <w:r w:rsidRPr="00216AD6">
        <w:rPr>
          <w:sz w:val="26"/>
          <w:szCs w:val="26"/>
        </w:rPr>
        <w:t>Старооскольского</w:t>
      </w:r>
      <w:proofErr w:type="spellEnd"/>
      <w:r w:rsidRPr="00216AD6">
        <w:rPr>
          <w:sz w:val="26"/>
          <w:szCs w:val="26"/>
        </w:rPr>
        <w:t xml:space="preserve"> городского округа – это уникальный по своим минеральным и земельным ресурсам регион Белгородской области. В то же время территория испытывает значительную экологическую нагрузку. </w:t>
      </w:r>
      <w:proofErr w:type="gramStart"/>
      <w:r w:rsidRPr="00216AD6">
        <w:rPr>
          <w:sz w:val="26"/>
          <w:szCs w:val="26"/>
        </w:rPr>
        <w:t>Это</w:t>
      </w:r>
      <w:proofErr w:type="gramEnd"/>
      <w:r w:rsidRPr="00216AD6">
        <w:rPr>
          <w:sz w:val="26"/>
          <w:szCs w:val="26"/>
        </w:rPr>
        <w:t xml:space="preserve"> прежде всего связано с развитием горно-металлургического комплекса, перерабатывающей промышленности, производством строительных материалов. 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16AD6">
        <w:rPr>
          <w:sz w:val="26"/>
          <w:szCs w:val="26"/>
        </w:rPr>
        <w:t>На территории города расположены карьеры по добыче полезных ископаемых. Ведется разработка глины, мергеля и песка.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8"/>
        <w:jc w:val="both"/>
        <w:rPr>
          <w:rStyle w:val="c17"/>
          <w:sz w:val="26"/>
          <w:szCs w:val="26"/>
        </w:rPr>
      </w:pPr>
      <w:r w:rsidRPr="00216AD6">
        <w:rPr>
          <w:sz w:val="26"/>
          <w:szCs w:val="26"/>
        </w:rPr>
        <w:t xml:space="preserve">Существующие природные и историко-культурные ресурсы территории </w:t>
      </w:r>
      <w:proofErr w:type="spellStart"/>
      <w:r w:rsidRPr="00216AD6">
        <w:rPr>
          <w:sz w:val="26"/>
          <w:szCs w:val="26"/>
        </w:rPr>
        <w:t>Старооскольского</w:t>
      </w:r>
      <w:proofErr w:type="spellEnd"/>
      <w:r w:rsidRPr="00216AD6">
        <w:rPr>
          <w:sz w:val="26"/>
          <w:szCs w:val="26"/>
        </w:rPr>
        <w:t xml:space="preserve">  городского округа для развития рекреационных зон, основываются на имеющихся лесах, садово-дачных участках, парках, скверах, пляжах, акваториях рек, прудах, зеленых насаждений общего пользования, спортивных сооружениях.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16AD6">
        <w:rPr>
          <w:sz w:val="26"/>
          <w:szCs w:val="26"/>
        </w:rPr>
        <w:t>Растительный покров территории входит в состав двух зон - степной и лесостепной.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16AD6">
        <w:rPr>
          <w:sz w:val="26"/>
          <w:szCs w:val="26"/>
        </w:rPr>
        <w:t xml:space="preserve">На территории </w:t>
      </w:r>
      <w:proofErr w:type="spellStart"/>
      <w:r w:rsidRPr="00216AD6">
        <w:rPr>
          <w:sz w:val="26"/>
          <w:szCs w:val="26"/>
        </w:rPr>
        <w:t>Старооскольского</w:t>
      </w:r>
      <w:proofErr w:type="spellEnd"/>
      <w:r w:rsidRPr="00216AD6">
        <w:rPr>
          <w:sz w:val="26"/>
          <w:szCs w:val="26"/>
        </w:rPr>
        <w:t xml:space="preserve"> района произрастают такие лекарственные растения как бессмертник, душица, зверобой, крапива, боярышник, липа, мать-и-мачеха, пижма, подорожник, пастушья сумка, пустырник, тысячелистник, </w:t>
      </w:r>
      <w:proofErr w:type="spellStart"/>
      <w:r w:rsidRPr="00216AD6">
        <w:rPr>
          <w:sz w:val="26"/>
          <w:szCs w:val="26"/>
        </w:rPr>
        <w:t>чебрец</w:t>
      </w:r>
      <w:proofErr w:type="spellEnd"/>
      <w:r w:rsidRPr="00216AD6">
        <w:rPr>
          <w:sz w:val="26"/>
          <w:szCs w:val="26"/>
        </w:rPr>
        <w:t xml:space="preserve">, череда, чистотел, шиповник, водяной перец, полынь. </w:t>
      </w:r>
      <w:proofErr w:type="gramEnd"/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rStyle w:val="c17"/>
          <w:sz w:val="26"/>
          <w:szCs w:val="26"/>
        </w:rPr>
      </w:pPr>
      <w:r w:rsidRPr="00216AD6">
        <w:rPr>
          <w:sz w:val="26"/>
          <w:szCs w:val="26"/>
        </w:rPr>
        <w:t xml:space="preserve">Фауну района представляют 250 видов птиц, 40 видов рыб, 20 видов земноводных и пресмыкающихся, 60 видов млекопитающих. В том числе: воробьи, дятлы, синицы, скворцы, вороны, грачи, галки, сороки, соловьи, обыкновенные овсянки, лесные коньки, перепела, чирки, лебеди, серая куропатка, утка, сизоворонки, кукушки, удод, козодой, кулики, совы, иволга, сойка, стрижи и т. д. Рыбы: щука, карп, лещ, карась, судак, плотва, окунь, ерш, красноперка, толстолобик, рыбец, линь, язь, сазан, голавль, </w:t>
      </w:r>
      <w:proofErr w:type="spellStart"/>
      <w:r w:rsidRPr="00216AD6">
        <w:rPr>
          <w:sz w:val="26"/>
          <w:szCs w:val="26"/>
        </w:rPr>
        <w:t>уклея</w:t>
      </w:r>
      <w:proofErr w:type="spellEnd"/>
      <w:r w:rsidRPr="00216AD6">
        <w:rPr>
          <w:sz w:val="26"/>
          <w:szCs w:val="26"/>
        </w:rPr>
        <w:t xml:space="preserve"> и </w:t>
      </w:r>
      <w:proofErr w:type="spellStart"/>
      <w:r w:rsidRPr="00216AD6">
        <w:rPr>
          <w:sz w:val="26"/>
          <w:szCs w:val="26"/>
        </w:rPr>
        <w:t>другие</w:t>
      </w:r>
      <w:proofErr w:type="gramStart"/>
      <w:r w:rsidRPr="00216AD6">
        <w:rPr>
          <w:sz w:val="26"/>
          <w:szCs w:val="26"/>
        </w:rPr>
        <w:t>.Ж</w:t>
      </w:r>
      <w:proofErr w:type="gramEnd"/>
      <w:r w:rsidRPr="00216AD6">
        <w:rPr>
          <w:sz w:val="26"/>
          <w:szCs w:val="26"/>
        </w:rPr>
        <w:t>ивотные</w:t>
      </w:r>
      <w:proofErr w:type="spellEnd"/>
      <w:r w:rsidRPr="00216AD6">
        <w:rPr>
          <w:sz w:val="26"/>
          <w:szCs w:val="26"/>
        </w:rPr>
        <w:t xml:space="preserve">: дикий кабан, лось, косули, заяц-русак, сурок-байбак, </w:t>
      </w:r>
      <w:proofErr w:type="gramStart"/>
      <w:r w:rsidRPr="00216AD6">
        <w:rPr>
          <w:sz w:val="26"/>
          <w:szCs w:val="26"/>
        </w:rPr>
        <w:t xml:space="preserve">лисица, куница, хорь, ласка, </w:t>
      </w:r>
      <w:r w:rsidRPr="00216AD6">
        <w:rPr>
          <w:sz w:val="26"/>
          <w:szCs w:val="26"/>
        </w:rPr>
        <w:lastRenderedPageBreak/>
        <w:t>енотовидная собака, ондатра, барсук, норка и др. Земноводные: лягушка, жабы, тритон.</w:t>
      </w:r>
      <w:proofErr w:type="gramEnd"/>
      <w:r w:rsidRPr="00216AD6">
        <w:rPr>
          <w:sz w:val="26"/>
          <w:szCs w:val="26"/>
        </w:rPr>
        <w:t xml:space="preserve"> Пресмыкающиеся: ящерицы, змеи, болотные черепахи. Насекомоядные: ежи. Насекомые: пчелы, шмели, осы, жуки и бабочки. Водную фауну представляют двухстворчатые моллюски, беззубки, перловицы, мелкие черви, зоопланктон.</w:t>
      </w:r>
    </w:p>
    <w:p w:rsidR="00C66B67" w:rsidRPr="00216AD6" w:rsidRDefault="00C66B67" w:rsidP="00C66B67">
      <w:pPr>
        <w:pStyle w:val="c16"/>
        <w:spacing w:before="0" w:beforeAutospacing="0" w:after="0" w:afterAutospacing="0" w:line="276" w:lineRule="auto"/>
        <w:ind w:firstLine="709"/>
        <w:jc w:val="both"/>
        <w:rPr>
          <w:noProof/>
          <w:sz w:val="26"/>
          <w:szCs w:val="26"/>
        </w:rPr>
      </w:pPr>
      <w:r w:rsidRPr="00216AD6">
        <w:rPr>
          <w:rStyle w:val="c17"/>
          <w:noProof/>
          <w:sz w:val="26"/>
          <w:szCs w:val="26"/>
        </w:rPr>
        <w:t xml:space="preserve">Правительство Белгородской области </w:t>
      </w:r>
      <w:r>
        <w:rPr>
          <w:rStyle w:val="c17"/>
          <w:noProof/>
          <w:sz w:val="26"/>
          <w:szCs w:val="26"/>
        </w:rPr>
        <w:t xml:space="preserve">(постановление №299 –пп) </w:t>
      </w:r>
      <w:r w:rsidRPr="00216AD6">
        <w:rPr>
          <w:rStyle w:val="c17"/>
          <w:noProof/>
          <w:sz w:val="26"/>
          <w:szCs w:val="26"/>
        </w:rPr>
        <w:t xml:space="preserve">15 августа 2016 года утвердило перечень особоохраняемых природных территорий регионального значения, в который вошли природные парки, природные заказники, памятники природы и дендрологические парки. </w:t>
      </w:r>
    </w:p>
    <w:p w:rsidR="00C66B67" w:rsidRPr="00D63FB0" w:rsidRDefault="00C66B67" w:rsidP="00C66B67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bCs w:val="0"/>
          <w:spacing w:val="2"/>
          <w:sz w:val="24"/>
          <w:szCs w:val="24"/>
        </w:rPr>
      </w:pPr>
      <w:r w:rsidRPr="00D63FB0">
        <w:rPr>
          <w:bCs w:val="0"/>
          <w:spacing w:val="2"/>
          <w:sz w:val="24"/>
          <w:szCs w:val="24"/>
        </w:rPr>
        <w:t xml:space="preserve">ПЕРЕЧЕНЬ ОСОБО ОХРАНЯЕМЫХ ПРИРОДНЫХ ТЕРРИТОРИЙ РЕГИОНАЛЬНОГО ЗНАЧЕНИЯ БЕЛГОРОДСКОЙ ОБЛАСТИ СТАРООСКОЛЬСКОГО ГОРОДСКОГО ОКРУГА </w:t>
      </w:r>
    </w:p>
    <w:p w:rsidR="00C66B67" w:rsidRPr="00D63FB0" w:rsidRDefault="00C66B67" w:rsidP="00C66B67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00B050"/>
          <w:spacing w:val="2"/>
          <w:sz w:val="24"/>
          <w:szCs w:val="24"/>
        </w:rPr>
      </w:pPr>
      <w:r w:rsidRPr="00D63FB0">
        <w:rPr>
          <w:bCs w:val="0"/>
          <w:color w:val="00B050"/>
          <w:spacing w:val="2"/>
          <w:sz w:val="24"/>
          <w:szCs w:val="24"/>
        </w:rPr>
        <w:t>ПРИРОДНЫЕ ПАРКИ</w:t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702"/>
        <w:gridCol w:w="1294"/>
        <w:gridCol w:w="2225"/>
        <w:gridCol w:w="3143"/>
      </w:tblGrid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rPr>
                <w:color w:val="2D2D2D"/>
                <w:spacing w:val="2"/>
              </w:rPr>
              <w:br/>
            </w:r>
            <w:r w:rsidRPr="00D63FB0">
              <w:t>Наименование особо охраняемой природной территории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Площадь, </w:t>
            </w:r>
            <w:proofErr w:type="gramStart"/>
            <w:r w:rsidRPr="00D63FB0">
              <w:t>га</w:t>
            </w:r>
            <w:proofErr w:type="gramEnd"/>
          </w:p>
        </w:tc>
        <w:tc>
          <w:tcPr>
            <w:tcW w:w="22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Муниципальное образование</w:t>
            </w:r>
          </w:p>
        </w:tc>
        <w:tc>
          <w:tcPr>
            <w:tcW w:w="314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Местоположение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Урочище «</w:t>
            </w:r>
            <w:proofErr w:type="spellStart"/>
            <w:r w:rsidRPr="00D63FB0">
              <w:t>Горняшка</w:t>
            </w:r>
            <w:proofErr w:type="spellEnd"/>
            <w:r w:rsidRPr="00D63FB0">
              <w:t>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478</w:t>
            </w:r>
          </w:p>
        </w:tc>
        <w:tc>
          <w:tcPr>
            <w:tcW w:w="22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  <w:tc>
          <w:tcPr>
            <w:tcW w:w="314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Северо-западная часть </w:t>
            </w:r>
          </w:p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>г. Старый Оскол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Урочище </w:t>
            </w:r>
          </w:p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«</w:t>
            </w:r>
            <w:proofErr w:type="spellStart"/>
            <w:r w:rsidRPr="00D63FB0">
              <w:t>Ублинские</w:t>
            </w:r>
            <w:proofErr w:type="spellEnd"/>
            <w:r w:rsidRPr="00D63FB0">
              <w:t xml:space="preserve"> горы»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613</w:t>
            </w:r>
          </w:p>
        </w:tc>
        <w:tc>
          <w:tcPr>
            <w:tcW w:w="22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  <w:tc>
          <w:tcPr>
            <w:tcW w:w="314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Восточная часть </w:t>
            </w:r>
          </w:p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>г. Старый Оскол, кварталы № 90 - 103</w:t>
            </w:r>
          </w:p>
        </w:tc>
      </w:tr>
    </w:tbl>
    <w:p w:rsidR="00C66B67" w:rsidRPr="00D63FB0" w:rsidRDefault="00C66B67" w:rsidP="00C66B67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B050"/>
          <w:spacing w:val="2"/>
        </w:rPr>
      </w:pPr>
      <w:r w:rsidRPr="00D63FB0">
        <w:rPr>
          <w:color w:val="2D2D2D"/>
          <w:spacing w:val="2"/>
        </w:rPr>
        <w:br/>
      </w:r>
      <w:r w:rsidRPr="00D63FB0">
        <w:rPr>
          <w:b/>
          <w:bCs/>
          <w:color w:val="00B050"/>
          <w:spacing w:val="2"/>
        </w:rPr>
        <w:t>ГОСУДАРСТВЕННЫЕ ПРИРОДНЫЕ ЗАКАЗНИКИ</w:t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361"/>
        <w:gridCol w:w="1294"/>
        <w:gridCol w:w="3134"/>
        <w:gridCol w:w="2723"/>
      </w:tblGrid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Наименование особо охраняемой природной территории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Площадь, </w:t>
            </w:r>
            <w:proofErr w:type="gramStart"/>
            <w:r w:rsidRPr="00D63FB0">
              <w:t>га</w:t>
            </w:r>
            <w:proofErr w:type="gramEnd"/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Муниципальное образование</w:t>
            </w:r>
          </w:p>
        </w:tc>
        <w:tc>
          <w:tcPr>
            <w:tcW w:w="311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Местоположение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Урочище «Долгое»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414</w:t>
            </w:r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r>
              <w:t>городской</w:t>
            </w:r>
            <w:proofErr w:type="spellEnd"/>
            <w:r>
              <w:t xml:space="preserve"> округ </w:t>
            </w:r>
          </w:p>
        </w:tc>
        <w:tc>
          <w:tcPr>
            <w:tcW w:w="311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Вблизи </w:t>
            </w:r>
            <w:proofErr w:type="gramStart"/>
            <w:r w:rsidRPr="00D63FB0">
              <w:t>с</w:t>
            </w:r>
            <w:proofErr w:type="gramEnd"/>
            <w:r w:rsidRPr="00D63FB0">
              <w:t>. Долгая Поляна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Река Котел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35,1125</w:t>
            </w:r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r>
              <w:t>городской</w:t>
            </w:r>
            <w:proofErr w:type="spellEnd"/>
            <w:r>
              <w:t xml:space="preserve"> округ </w:t>
            </w:r>
          </w:p>
        </w:tc>
        <w:tc>
          <w:tcPr>
            <w:tcW w:w="311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В границах </w:t>
            </w:r>
            <w:proofErr w:type="spellStart"/>
            <w:r w:rsidRPr="00D63FB0">
              <w:t>Обуховской</w:t>
            </w:r>
            <w:proofErr w:type="spellEnd"/>
            <w:r w:rsidRPr="00D63FB0">
              <w:t xml:space="preserve"> сельской территории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Река </w:t>
            </w:r>
            <w:proofErr w:type="spellStart"/>
            <w:r w:rsidRPr="00D63FB0">
              <w:t>Убля</w:t>
            </w:r>
            <w:proofErr w:type="spellEnd"/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16,2355</w:t>
            </w:r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  <w:tc>
          <w:tcPr>
            <w:tcW w:w="311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>г. Старый Оскол</w:t>
            </w:r>
          </w:p>
        </w:tc>
      </w:tr>
    </w:tbl>
    <w:p w:rsidR="00C66B67" w:rsidRPr="00D63FB0" w:rsidRDefault="00C66B67" w:rsidP="00C66B67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B050"/>
          <w:spacing w:val="2"/>
        </w:rPr>
      </w:pPr>
      <w:r w:rsidRPr="00D63FB0">
        <w:rPr>
          <w:color w:val="2D2D2D"/>
          <w:spacing w:val="2"/>
        </w:rPr>
        <w:br/>
      </w:r>
      <w:r w:rsidRPr="00D63FB0">
        <w:rPr>
          <w:b/>
          <w:bCs/>
          <w:color w:val="00B050"/>
          <w:spacing w:val="2"/>
        </w:rPr>
        <w:t>ПАМЯТНИКИ ПРИРОДЫ</w:t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702"/>
        <w:gridCol w:w="1294"/>
        <w:gridCol w:w="2219"/>
        <w:gridCol w:w="3222"/>
      </w:tblGrid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Наименование особо охраняемой природной территории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Площадь, </w:t>
            </w:r>
            <w:proofErr w:type="gramStart"/>
            <w:r w:rsidRPr="00D63FB0">
              <w:t>га</w:t>
            </w:r>
            <w:proofErr w:type="gramEnd"/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Муниципальное образование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Местоположение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Дуб-долгожитель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0,125</w:t>
            </w:r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proofErr w:type="spellEnd"/>
            <w:r w:rsidRPr="00D63FB0">
              <w:t xml:space="preserve"> городской округ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с. </w:t>
            </w:r>
            <w:proofErr w:type="spellStart"/>
            <w:r w:rsidRPr="00D63FB0">
              <w:t>Обуховка</w:t>
            </w:r>
            <w:proofErr w:type="spellEnd"/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Три дуба-долгожителя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0,3085</w:t>
            </w:r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proofErr w:type="spellEnd"/>
            <w:r w:rsidRPr="00D63FB0">
              <w:t xml:space="preserve"> городской округ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>г. Старый Оскол, территория медицинского колледжа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Карстовый источник в пойме р. </w:t>
            </w:r>
            <w:proofErr w:type="spellStart"/>
            <w:r w:rsidRPr="00D63FB0">
              <w:t>БороваяПотудань</w:t>
            </w:r>
            <w:proofErr w:type="spellEnd"/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0,7814</w:t>
            </w:r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proofErr w:type="spellEnd"/>
            <w:r w:rsidRPr="00D63FB0">
              <w:t xml:space="preserve"> городской округ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Пойма реки Боровая </w:t>
            </w:r>
            <w:proofErr w:type="spellStart"/>
            <w:r w:rsidRPr="00D63FB0">
              <w:t>Потудань</w:t>
            </w:r>
            <w:proofErr w:type="spellEnd"/>
            <w:r w:rsidRPr="00D63FB0">
              <w:t xml:space="preserve">, </w:t>
            </w:r>
            <w:proofErr w:type="gramStart"/>
            <w:r w:rsidRPr="00D63FB0">
              <w:t>с</w:t>
            </w:r>
            <w:proofErr w:type="gramEnd"/>
            <w:r w:rsidRPr="00D63FB0">
              <w:t xml:space="preserve">. </w:t>
            </w:r>
            <w:proofErr w:type="gramStart"/>
            <w:r w:rsidRPr="00D63FB0">
              <w:t>Сергеевка</w:t>
            </w:r>
            <w:proofErr w:type="gramEnd"/>
            <w:r w:rsidRPr="00D63FB0">
              <w:t xml:space="preserve"> Знаменской сельской территории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lastRenderedPageBreak/>
              <w:t>Карстовый источник «Криница»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0,7814</w:t>
            </w:r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proofErr w:type="spellEnd"/>
            <w:r w:rsidRPr="00D63FB0">
              <w:t xml:space="preserve"> городской округ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с. </w:t>
            </w:r>
            <w:proofErr w:type="spellStart"/>
            <w:r w:rsidRPr="00D63FB0">
              <w:t>Бабанинка</w:t>
            </w:r>
            <w:proofErr w:type="spellEnd"/>
          </w:p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proofErr w:type="spellStart"/>
            <w:r w:rsidRPr="00D63FB0">
              <w:t>Обуховской</w:t>
            </w:r>
            <w:proofErr w:type="spellEnd"/>
            <w:r w:rsidRPr="00D63FB0">
              <w:t xml:space="preserve"> сельской территории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Карстовый источник «</w:t>
            </w:r>
            <w:proofErr w:type="spellStart"/>
            <w:r w:rsidRPr="00D63FB0">
              <w:t>Потудань</w:t>
            </w:r>
            <w:proofErr w:type="spellEnd"/>
            <w:r w:rsidRPr="00D63FB0">
              <w:t>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0,7814</w:t>
            </w:r>
          </w:p>
        </w:tc>
        <w:tc>
          <w:tcPr>
            <w:tcW w:w="221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D63FB0">
              <w:t>Старооскольский</w:t>
            </w:r>
            <w:proofErr w:type="spellEnd"/>
            <w:r w:rsidRPr="00D63FB0">
              <w:t xml:space="preserve"> городской округ</w:t>
            </w:r>
          </w:p>
        </w:tc>
        <w:tc>
          <w:tcPr>
            <w:tcW w:w="322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textAlignment w:val="baseline"/>
            </w:pPr>
            <w:r w:rsidRPr="00D63FB0">
              <w:t xml:space="preserve">Пойма реки Боровая </w:t>
            </w:r>
            <w:proofErr w:type="spellStart"/>
            <w:r w:rsidRPr="00D63FB0">
              <w:t>Потудань</w:t>
            </w:r>
            <w:proofErr w:type="spellEnd"/>
            <w:r w:rsidRPr="00D63FB0">
              <w:t xml:space="preserve">, с. </w:t>
            </w:r>
            <w:proofErr w:type="spellStart"/>
            <w:r w:rsidRPr="00D63FB0">
              <w:t>ЛогвиновкаПотуданской</w:t>
            </w:r>
            <w:proofErr w:type="spellEnd"/>
            <w:r w:rsidRPr="00D63FB0">
              <w:t xml:space="preserve"> сельской территории</w:t>
            </w:r>
          </w:p>
        </w:tc>
      </w:tr>
    </w:tbl>
    <w:p w:rsidR="00C66B67" w:rsidRPr="00D63FB0" w:rsidRDefault="00C66B67" w:rsidP="00C66B67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B050"/>
          <w:spacing w:val="2"/>
        </w:rPr>
      </w:pPr>
      <w:r w:rsidRPr="00D63FB0">
        <w:rPr>
          <w:color w:val="2D2D2D"/>
          <w:spacing w:val="2"/>
        </w:rPr>
        <w:br/>
      </w:r>
      <w:r w:rsidRPr="00D63FB0">
        <w:rPr>
          <w:b/>
          <w:bCs/>
          <w:color w:val="00B050"/>
          <w:spacing w:val="2"/>
        </w:rPr>
        <w:t>ДЕНДРОЛОГИЧЕСКИЕ ПАРКИ</w:t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702"/>
        <w:gridCol w:w="1294"/>
        <w:gridCol w:w="2249"/>
        <w:gridCol w:w="3208"/>
      </w:tblGrid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Наименование особо охраняемой природной территории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 xml:space="preserve">Площадь, </w:t>
            </w:r>
            <w:proofErr w:type="gramStart"/>
            <w:r w:rsidRPr="00D63FB0">
              <w:t>га</w:t>
            </w:r>
            <w:proofErr w:type="gramEnd"/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Муниципальное образование</w:t>
            </w:r>
          </w:p>
        </w:tc>
        <w:tc>
          <w:tcPr>
            <w:tcW w:w="320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Местоположение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Парк «</w:t>
            </w:r>
            <w:proofErr w:type="spellStart"/>
            <w:r w:rsidRPr="00D63FB0">
              <w:t>Горняшка</w:t>
            </w:r>
            <w:proofErr w:type="spellEnd"/>
            <w:r w:rsidRPr="00D63FB0">
              <w:t>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1,2</w:t>
            </w:r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  <w:tc>
          <w:tcPr>
            <w:tcW w:w="320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Юго-западная сторона урочища «</w:t>
            </w:r>
            <w:proofErr w:type="spellStart"/>
            <w:r w:rsidRPr="00D63FB0">
              <w:t>Горняшка</w:t>
            </w:r>
            <w:proofErr w:type="spellEnd"/>
            <w:r w:rsidRPr="00D63FB0">
              <w:t xml:space="preserve">», </w:t>
            </w:r>
          </w:p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</w:tr>
      <w:tr w:rsidR="00C66B67" w:rsidRPr="00D63FB0" w:rsidTr="00AA1E60">
        <w:tc>
          <w:tcPr>
            <w:tcW w:w="27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Парк «Ильины»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2,941</w:t>
            </w:r>
          </w:p>
        </w:tc>
        <w:tc>
          <w:tcPr>
            <w:tcW w:w="224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г. Старый Оскол</w:t>
            </w:r>
          </w:p>
        </w:tc>
        <w:tc>
          <w:tcPr>
            <w:tcW w:w="320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6B67" w:rsidRPr="00D63FB0" w:rsidRDefault="00C66B67" w:rsidP="00AA1E6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63FB0">
              <w:t>х. Ильины Котовской сельской территории, урочище «</w:t>
            </w:r>
            <w:proofErr w:type="spellStart"/>
            <w:r w:rsidRPr="00D63FB0">
              <w:t>Заубля</w:t>
            </w:r>
            <w:proofErr w:type="spellEnd"/>
            <w:r w:rsidRPr="00D63FB0">
              <w:t>»</w:t>
            </w:r>
          </w:p>
        </w:tc>
      </w:tr>
    </w:tbl>
    <w:p w:rsidR="00C66B67" w:rsidRDefault="00C66B67" w:rsidP="00C66B67">
      <w:pPr>
        <w:pStyle w:val="c16"/>
        <w:spacing w:before="0" w:beforeAutospacing="0" w:after="0" w:afterAutospacing="0"/>
        <w:ind w:firstLine="709"/>
        <w:jc w:val="both"/>
        <w:rPr>
          <w:rStyle w:val="c17"/>
          <w:sz w:val="26"/>
          <w:szCs w:val="26"/>
        </w:rPr>
      </w:pPr>
    </w:p>
    <w:p w:rsidR="00C66B67" w:rsidRPr="002F32C3" w:rsidRDefault="00C66B67" w:rsidP="00C66B67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F32C3">
        <w:rPr>
          <w:sz w:val="26"/>
          <w:szCs w:val="26"/>
        </w:rPr>
        <w:t xml:space="preserve">Особо охраняемые природные территории предназначены для сохранения природной чистоты, не тронутой человеком, для сохранения уникальных элементов живой природы. Такие территории позволяют человечеству сохранить памятники культуры и древности, прикоснуться к истории нашей планеты. А эстетическое значение таких территорий неоценимо! </w:t>
      </w:r>
    </w:p>
    <w:p w:rsidR="00C66B67" w:rsidRDefault="00C66B67" w:rsidP="00C66B67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F32C3">
        <w:rPr>
          <w:sz w:val="26"/>
          <w:szCs w:val="26"/>
        </w:rPr>
        <w:t xml:space="preserve">И только когда мы осознаем достоинства и значимость </w:t>
      </w:r>
      <w:r>
        <w:rPr>
          <w:sz w:val="26"/>
          <w:szCs w:val="26"/>
        </w:rPr>
        <w:t xml:space="preserve">ООПТ </w:t>
      </w:r>
      <w:r w:rsidRPr="002F32C3">
        <w:rPr>
          <w:sz w:val="26"/>
          <w:szCs w:val="26"/>
        </w:rPr>
        <w:t xml:space="preserve">мы сумеем достойно ими пользоваться без причинения ущерба для их профильных природоохранных задач. </w:t>
      </w:r>
    </w:p>
    <w:p w:rsidR="00C66B67" w:rsidRDefault="00C66B67" w:rsidP="00C66B67">
      <w:pPr>
        <w:pStyle w:val="11"/>
        <w:spacing w:line="276" w:lineRule="auto"/>
        <w:ind w:left="0" w:right="814"/>
        <w:rPr>
          <w:b w:val="0"/>
        </w:rPr>
      </w:pPr>
    </w:p>
    <w:p w:rsidR="00C66B67" w:rsidRPr="00837763" w:rsidRDefault="00C66B67" w:rsidP="00C66B67">
      <w:pPr>
        <w:pStyle w:val="formattext"/>
        <w:spacing w:before="0" w:beforeAutospacing="0" w:after="0" w:afterAutospacing="0" w:line="276" w:lineRule="auto"/>
        <w:ind w:right="814" w:firstLine="709"/>
        <w:jc w:val="both"/>
        <w:textAlignment w:val="baseline"/>
        <w:rPr>
          <w:sz w:val="26"/>
          <w:szCs w:val="26"/>
        </w:rPr>
      </w:pPr>
      <w:r w:rsidRPr="000B21BF">
        <w:rPr>
          <w:b/>
          <w:sz w:val="26"/>
          <w:szCs w:val="26"/>
        </w:rPr>
        <w:t xml:space="preserve">Подробное описание объектов:  </w:t>
      </w:r>
      <w:r w:rsidRPr="000B21BF">
        <w:rPr>
          <w:sz w:val="26"/>
          <w:szCs w:val="26"/>
        </w:rPr>
        <w:t>исторические данные, легенды об объектах, животный и растительный мир</w:t>
      </w:r>
      <w:r>
        <w:rPr>
          <w:sz w:val="26"/>
          <w:szCs w:val="26"/>
        </w:rPr>
        <w:t xml:space="preserve"> можно найти по ссылке </w:t>
      </w:r>
    </w:p>
    <w:p w:rsidR="00C66B67" w:rsidRDefault="00A32BB8" w:rsidP="00C66B67">
      <w:pPr>
        <w:pStyle w:val="11"/>
        <w:spacing w:line="276" w:lineRule="auto"/>
        <w:ind w:left="0" w:right="814"/>
        <w:rPr>
          <w:b w:val="0"/>
          <w:color w:val="C00000"/>
          <w:sz w:val="26"/>
          <w:szCs w:val="26"/>
        </w:rPr>
      </w:pPr>
      <w:hyperlink r:id="rId5" w:history="1">
        <w:r w:rsidR="00C66B67" w:rsidRPr="00F0551D">
          <w:rPr>
            <w:rStyle w:val="a4"/>
            <w:b w:val="0"/>
            <w:sz w:val="26"/>
            <w:szCs w:val="26"/>
          </w:rPr>
          <w:t>https://semenkoyulia.wixsite.com/nasledie-zemli-oskol</w:t>
        </w:r>
      </w:hyperlink>
      <w:r w:rsidR="00C66B67" w:rsidRPr="00837763">
        <w:rPr>
          <w:b w:val="0"/>
          <w:color w:val="C00000"/>
          <w:sz w:val="26"/>
          <w:szCs w:val="26"/>
        </w:rPr>
        <w:t>.</w:t>
      </w:r>
    </w:p>
    <w:p w:rsidR="00C66B67" w:rsidRPr="00837763" w:rsidRDefault="00C66B67" w:rsidP="00C66B67">
      <w:pPr>
        <w:pStyle w:val="11"/>
        <w:spacing w:line="276" w:lineRule="auto"/>
        <w:ind w:left="0" w:right="814"/>
        <w:rPr>
          <w:b w:val="0"/>
          <w:color w:val="C00000"/>
          <w:sz w:val="26"/>
          <w:szCs w:val="26"/>
        </w:rPr>
      </w:pPr>
    </w:p>
    <w:p w:rsidR="008E13C4" w:rsidRDefault="008E13C4">
      <w:bookmarkStart w:id="0" w:name="_GoBack"/>
      <w:bookmarkEnd w:id="0"/>
    </w:p>
    <w:sectPr w:rsidR="008E13C4" w:rsidSect="00E8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4AC7"/>
    <w:rsid w:val="0000008B"/>
    <w:rsid w:val="000B2949"/>
    <w:rsid w:val="0016338B"/>
    <w:rsid w:val="00596B13"/>
    <w:rsid w:val="005C003E"/>
    <w:rsid w:val="0064225E"/>
    <w:rsid w:val="008E13C4"/>
    <w:rsid w:val="00A32BB8"/>
    <w:rsid w:val="00AA1E60"/>
    <w:rsid w:val="00C66B67"/>
    <w:rsid w:val="00E81A08"/>
    <w:rsid w:val="00F64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67"/>
  </w:style>
  <w:style w:type="paragraph" w:styleId="2">
    <w:name w:val="heading 2"/>
    <w:basedOn w:val="a"/>
    <w:link w:val="20"/>
    <w:uiPriority w:val="9"/>
    <w:qFormat/>
    <w:rsid w:val="00C66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6B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C66B67"/>
    <w:pPr>
      <w:widowControl w:val="0"/>
      <w:autoSpaceDE w:val="0"/>
      <w:autoSpaceDN w:val="0"/>
      <w:spacing w:after="0" w:line="240" w:lineRule="auto"/>
      <w:ind w:left="10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66B67"/>
  </w:style>
  <w:style w:type="paragraph" w:customStyle="1" w:styleId="formattexttopleveltext">
    <w:name w:val="formattext topleveltext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6B6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42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67"/>
  </w:style>
  <w:style w:type="paragraph" w:styleId="2">
    <w:name w:val="heading 2"/>
    <w:basedOn w:val="a"/>
    <w:link w:val="20"/>
    <w:uiPriority w:val="9"/>
    <w:qFormat/>
    <w:rsid w:val="00C66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6B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C66B67"/>
    <w:pPr>
      <w:widowControl w:val="0"/>
      <w:autoSpaceDE w:val="0"/>
      <w:autoSpaceDN w:val="0"/>
      <w:spacing w:after="0" w:line="240" w:lineRule="auto"/>
      <w:ind w:left="10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66B67"/>
  </w:style>
  <w:style w:type="paragraph" w:customStyle="1" w:styleId="formattexttopleveltext">
    <w:name w:val="formattext topleveltext"/>
    <w:basedOn w:val="a"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6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6B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emenkoyulia.wixsite.com/nasledie-zemli-osko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Осокина</cp:lastModifiedBy>
  <cp:revision>9</cp:revision>
  <dcterms:created xsi:type="dcterms:W3CDTF">2023-09-14T08:00:00Z</dcterms:created>
  <dcterms:modified xsi:type="dcterms:W3CDTF">2023-10-05T14:17:00Z</dcterms:modified>
</cp:coreProperties>
</file>