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3E" w:rsidRDefault="008D223E" w:rsidP="008D22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3754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плана федеральной </w:t>
      </w:r>
      <w:r w:rsidRPr="007C3754">
        <w:rPr>
          <w:rFonts w:ascii="Times New Roman" w:hAnsi="Times New Roman" w:cs="Times New Roman"/>
          <w:sz w:val="28"/>
          <w:szCs w:val="28"/>
        </w:rPr>
        <w:t>программы воспитательной работы в организациях отдыха детей и их оздоровления</w:t>
      </w:r>
    </w:p>
    <w:p w:rsidR="00B85513" w:rsidRDefault="00B85513" w:rsidP="008D22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85513" w:rsidRDefault="00B85513" w:rsidP="008A16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реализации календарного плана федеральной программы воспитательной работы в организациях отдыха детей и их оздоровления, утвержденной Приказом Министерства просвещения Российской Федерации от 17 марта 2025 года № 209 «Об утверждении </w:t>
      </w:r>
      <w:r>
        <w:rPr>
          <w:rFonts w:ascii="Times New Roman" w:hAnsi="Times New Roman" w:cs="Times New Roman"/>
          <w:sz w:val="28"/>
          <w:szCs w:val="28"/>
        </w:rPr>
        <w:t>федеральной программы воспитательной работы в организациях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и календарного плана воспитательной работы» (зарегистрирован Министерством юстиции Российской Федерации от 31 марта 2025 года № 81693) разработаны авторским коллективом представителей федеральных детских центров (Международный детский центр «Артек», Всероссийский детский центр «Алые паруса»,  </w:t>
      </w:r>
      <w:r>
        <w:rPr>
          <w:rFonts w:ascii="Times New Roman" w:hAnsi="Times New Roman" w:cs="Times New Roman"/>
          <w:sz w:val="28"/>
          <w:szCs w:val="28"/>
        </w:rPr>
        <w:t>Всероссийский детский центр «</w:t>
      </w:r>
      <w:r>
        <w:rPr>
          <w:rFonts w:ascii="Times New Roman" w:hAnsi="Times New Roman" w:cs="Times New Roman"/>
          <w:sz w:val="28"/>
          <w:szCs w:val="28"/>
        </w:rPr>
        <w:t>Океан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Всероссийский детский центр «</w:t>
      </w:r>
      <w:r>
        <w:rPr>
          <w:rFonts w:ascii="Times New Roman" w:hAnsi="Times New Roman" w:cs="Times New Roman"/>
          <w:sz w:val="28"/>
          <w:szCs w:val="28"/>
        </w:rPr>
        <w:t>Орлёнок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Всероссийский детский центр «</w:t>
      </w:r>
      <w:r>
        <w:rPr>
          <w:rFonts w:ascii="Times New Roman" w:hAnsi="Times New Roman" w:cs="Times New Roman"/>
          <w:sz w:val="28"/>
          <w:szCs w:val="28"/>
        </w:rPr>
        <w:t>Печоры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Всероссийский детский центр «</w:t>
      </w:r>
      <w:r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и Общероссийского общественно-государственного движения детей и молодежи «Движение Первых» под общей координацией Центра содействия развитию сферы отдыха и оздоровления детей ФГБУ «Федеральный центр дополнительного образования и организации отдыха и оздоровления детей».</w:t>
      </w:r>
    </w:p>
    <w:p w:rsidR="00B85513" w:rsidRDefault="00B85513" w:rsidP="008A16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реализации календарного плана предназначены как для специалистов, отвечающих за реализацию содержания в организации отдыха детей и их оздоровления, так и для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вожат</w:t>
      </w:r>
      <w:r w:rsidR="008A162A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8A162A">
        <w:rPr>
          <w:rFonts w:ascii="Times New Roman" w:hAnsi="Times New Roman" w:cs="Times New Roman"/>
          <w:sz w:val="28"/>
          <w:szCs w:val="28"/>
        </w:rPr>
        <w:t xml:space="preserve">-педагогического коллектива. Методические рекомендации включают описание содержания инвариантных форм работы календарного плана на </w:t>
      </w:r>
      <w:proofErr w:type="spellStart"/>
      <w:r w:rsidR="008A162A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="008A162A">
        <w:rPr>
          <w:rFonts w:ascii="Times New Roman" w:hAnsi="Times New Roman" w:cs="Times New Roman"/>
          <w:sz w:val="28"/>
          <w:szCs w:val="28"/>
        </w:rPr>
        <w:t xml:space="preserve"> и отрядном уровнях в соответствии с логикой лагерной смены и являются универсальной опорой для формирования и развития содержательного контекста каждой смены.</w:t>
      </w:r>
    </w:p>
    <w:p w:rsidR="008D223E" w:rsidRPr="007C3754" w:rsidRDefault="008D223E" w:rsidP="008D223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3836"/>
      </w:tblGrid>
      <w:tr w:rsidR="008D223E" w:rsidRPr="008D223E" w:rsidTr="008D223E">
        <w:trPr>
          <w:trHeight w:val="569"/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8D223E" w:rsidRDefault="008D223E" w:rsidP="00CB663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D223E">
              <w:rPr>
                <w:rFonts w:ascii="Times New Roman" w:eastAsia="Calibri" w:hAnsi="Times New Roman" w:cs="Times New Roman"/>
                <w:sz w:val="28"/>
                <w:lang w:eastAsia="en-US"/>
              </w:rPr>
              <w:t>Формы работы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D223E" w:rsidRPr="008D223E" w:rsidRDefault="008D223E" w:rsidP="00CB663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D223E">
              <w:rPr>
                <w:rFonts w:ascii="Times New Roman" w:eastAsia="Calibri" w:hAnsi="Times New Roman" w:cs="Times New Roman"/>
                <w:sz w:val="28"/>
                <w:lang w:eastAsia="en-US"/>
              </w:rPr>
              <w:t>QR-код сценария</w:t>
            </w: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ОРГАНИЗАЦИОННЫЙ ПЕРИОД СМЕНЫ</w:t>
            </w:r>
          </w:p>
          <w:p w:rsidR="008D223E" w:rsidRPr="001C1AD2" w:rsidRDefault="008D223E" w:rsidP="008D2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Общелагерный</w:t>
            </w:r>
            <w:proofErr w:type="spellEnd"/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уровень</w:t>
            </w:r>
          </w:p>
          <w:p w:rsidR="008D223E" w:rsidRDefault="008D223E" w:rsidP="008D2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(инвариантные формы)</w:t>
            </w:r>
          </w:p>
          <w:p w:rsidR="008A162A" w:rsidRPr="001C1AD2" w:rsidRDefault="008A162A" w:rsidP="008D2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8D223E" w:rsidRPr="007C3754" w:rsidTr="008D223E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Линейка открытия смены</w:t>
            </w:r>
          </w:p>
        </w:tc>
        <w:tc>
          <w:tcPr>
            <w:tcW w:w="3680" w:type="dxa"/>
            <w:shd w:val="clear" w:color="auto" w:fill="auto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1740" cy="1207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trHeight w:val="1951"/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Хозяйственный сбор детского лагеря</w:t>
            </w:r>
          </w:p>
        </w:tc>
        <w:tc>
          <w:tcPr>
            <w:tcW w:w="3680" w:type="dxa"/>
            <w:shd w:val="clear" w:color="auto" w:fill="auto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7135" cy="12217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before="240" w:after="0" w:line="240" w:lineRule="auto"/>
              <w:ind w:left="171" w:firstLine="189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Презентация программы смены </w:t>
            </w:r>
          </w:p>
          <w:p w:rsidR="008D223E" w:rsidRPr="001C1AD2" w:rsidRDefault="008D223E" w:rsidP="00CB6633">
            <w:pPr>
              <w:spacing w:before="240"/>
              <w:ind w:left="313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стр. 5 Методических рекомендаций, ссылка </w:t>
            </w:r>
            <w:hyperlink r:id="rId7" w:history="1">
              <w:r w:rsidRPr="001C1AD2">
                <w:rPr>
                  <w:rStyle w:val="a3"/>
                  <w:rFonts w:ascii="Times New Roman" w:eastAsia="Calibri" w:hAnsi="Times New Roman" w:cs="Times New Roman"/>
                  <w:sz w:val="24"/>
                  <w:szCs w:val="28"/>
                  <w:lang w:eastAsia="en-US"/>
                </w:rPr>
                <w:t>https://kamchatkairo.ru/images/metodicheskie_rekomendacii_po_realizacii_kalendarnogo_plana_fpvr.pdf</w:t>
              </w:r>
            </w:hyperlink>
            <w:r w:rsidRPr="001C1AD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Отрядный уровень</w:t>
            </w:r>
          </w:p>
          <w:p w:rsidR="008D223E" w:rsidRPr="001C1AD2" w:rsidRDefault="008D223E" w:rsidP="008D22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1C1AD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(инвариантные формы)</w:t>
            </w:r>
          </w:p>
          <w:p w:rsidR="008D223E" w:rsidRPr="001C1AD2" w:rsidRDefault="008D223E" w:rsidP="00CB6633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Вводный инструктаж</w:t>
            </w: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детей среднего и старшего школьного возраста</w:t>
            </w:r>
          </w:p>
        </w:tc>
        <w:tc>
          <w:tcPr>
            <w:tcW w:w="3680" w:type="dxa"/>
            <w:shd w:val="clear" w:color="auto" w:fill="auto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7135" cy="11779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23E" w:rsidRPr="007C3754" w:rsidTr="008D223E">
        <w:trPr>
          <w:trHeight w:val="2442"/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Игровой час «играю я – играют друзья»</w:t>
            </w: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детей младшего школьного возраста</w:t>
            </w:r>
          </w:p>
        </w:tc>
        <w:tc>
          <w:tcPr>
            <w:tcW w:w="3680" w:type="dxa"/>
            <w:shd w:val="clear" w:color="auto" w:fill="auto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7135" cy="12217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Организационный сбор отряда</w:t>
            </w: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детей среднего, старшего школьного возраста</w:t>
            </w:r>
          </w:p>
        </w:tc>
        <w:tc>
          <w:tcPr>
            <w:tcW w:w="3680" w:type="dxa"/>
            <w:shd w:val="clear" w:color="auto" w:fill="auto"/>
          </w:tcPr>
          <w:p w:rsidR="008D223E" w:rsidRPr="001C1AD2" w:rsidRDefault="008D223E" w:rsidP="00CB6633">
            <w:pPr>
              <w:tabs>
                <w:tab w:val="left" w:pos="1876"/>
              </w:tabs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7135" cy="12071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tabs>
                <w:tab w:val="left" w:pos="1876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Огонёк знакомства </w:t>
            </w: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детей младшего, среднего и старшего школьного возраста</w:t>
            </w:r>
          </w:p>
        </w:tc>
        <w:tc>
          <w:tcPr>
            <w:tcW w:w="3680" w:type="dxa"/>
            <w:shd w:val="clear" w:color="auto" w:fill="auto"/>
          </w:tcPr>
          <w:p w:rsidR="008D223E" w:rsidRPr="001C1AD2" w:rsidRDefault="008D223E" w:rsidP="00CB6633">
            <w:pPr>
              <w:tabs>
                <w:tab w:val="left" w:pos="1831"/>
              </w:tabs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1740" cy="12217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tabs>
                <w:tab w:val="left" w:pos="183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ОСНОВНОЙ ПЕРИОД СМЕНЫ</w:t>
            </w:r>
          </w:p>
          <w:p w:rsidR="008D223E" w:rsidRPr="001C1AD2" w:rsidRDefault="008D223E" w:rsidP="008D22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Общелагерный</w:t>
            </w:r>
            <w:proofErr w:type="spellEnd"/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уровень</w:t>
            </w:r>
          </w:p>
          <w:p w:rsidR="008D223E" w:rsidRPr="001C1AD2" w:rsidRDefault="008D223E" w:rsidP="008D22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(инвариантные формы)</w:t>
            </w:r>
          </w:p>
          <w:p w:rsidR="008D223E" w:rsidRPr="001C1AD2" w:rsidRDefault="008D223E" w:rsidP="00CB66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3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Утренний подъём Государственного флага Российской Федерации</w:t>
            </w:r>
          </w:p>
          <w:p w:rsidR="008D223E" w:rsidRPr="001C1AD2" w:rsidRDefault="008D223E" w:rsidP="00CB6633">
            <w:pPr>
              <w:spacing w:before="240"/>
              <w:ind w:left="3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11-14 Методических рекомендаций, ссылка </w:t>
            </w:r>
            <w:hyperlink r:id="rId12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3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Утренняя гигиеническая гимнастика</w:t>
            </w: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15 Методических рекомендаций, ссылка </w:t>
            </w:r>
            <w:hyperlink r:id="rId13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3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Тренировочная пожарная эвакуация</w:t>
            </w:r>
          </w:p>
          <w:p w:rsidR="008D223E" w:rsidRPr="001C1AD2" w:rsidRDefault="008D223E" w:rsidP="00CB6633">
            <w:pPr>
              <w:pStyle w:val="a4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15-17 Методических рекомендаций, ссылка </w:t>
            </w:r>
            <w:hyperlink r:id="rId14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Тематические дни и мероприятия в соответствии с перечнем утвержденных государственных и профессиональных праздников, </w:t>
            </w:r>
          </w:p>
          <w:p w:rsidR="008D223E" w:rsidRPr="001C1AD2" w:rsidRDefault="008D223E" w:rsidP="008D22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 также памятных дней</w:t>
            </w:r>
          </w:p>
          <w:p w:rsidR="008D223E" w:rsidRPr="001C1AD2" w:rsidRDefault="008D223E" w:rsidP="00CB66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17-18 Методических рекомендаций, ссылка </w:t>
            </w:r>
            <w:hyperlink r:id="rId15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День памяти</w:t>
            </w:r>
          </w:p>
          <w:p w:rsidR="008D223E" w:rsidRPr="001C1AD2" w:rsidRDefault="008D223E" w:rsidP="00CB6633">
            <w:pPr>
              <w:pStyle w:val="a4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18-20 Методических рекомендаций, ссылка </w:t>
            </w:r>
            <w:hyperlink r:id="rId16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Единства / День России / День культуры России</w:t>
            </w:r>
          </w:p>
          <w:p w:rsidR="008D223E" w:rsidRPr="001C1AD2" w:rsidRDefault="008D223E" w:rsidP="00CB6633">
            <w:pPr>
              <w:pStyle w:val="a4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20-21 Методических рекомендаций, ссылка </w:t>
            </w:r>
            <w:hyperlink r:id="rId17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Семьи</w:t>
            </w:r>
          </w:p>
          <w:p w:rsidR="008D223E" w:rsidRPr="001C1AD2" w:rsidRDefault="008D223E" w:rsidP="00CB6633">
            <w:pPr>
              <w:pStyle w:val="a4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21-22 Методических рекомендаций, ссылка </w:t>
            </w:r>
            <w:hyperlink r:id="rId18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и Спорта</w:t>
            </w:r>
          </w:p>
          <w:p w:rsidR="008D223E" w:rsidRPr="001C1AD2" w:rsidRDefault="008D223E" w:rsidP="00CB6633">
            <w:pPr>
              <w:pStyle w:val="a4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22-24 Методических рекомендаций, ссылка </w:t>
            </w:r>
            <w:hyperlink r:id="rId19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Профессий</w:t>
            </w:r>
          </w:p>
          <w:p w:rsidR="008D223E" w:rsidRPr="001C1AD2" w:rsidRDefault="008D223E" w:rsidP="00CB6633">
            <w:pPr>
              <w:pStyle w:val="a4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стр. 24-25 Методических рекомендаций, ссылка </w:t>
            </w:r>
            <w:hyperlink r:id="rId20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День Общероссийского общественно-государственного движения детей и молодежи «Движения Первых»</w:t>
            </w:r>
          </w:p>
        </w:tc>
        <w:tc>
          <w:tcPr>
            <w:tcW w:w="3680" w:type="dxa"/>
            <w:shd w:val="clear" w:color="auto" w:fill="auto"/>
          </w:tcPr>
          <w:p w:rsidR="008D223E" w:rsidRPr="001C1AD2" w:rsidRDefault="008D223E" w:rsidP="00CB6633">
            <w:pPr>
              <w:tabs>
                <w:tab w:val="left" w:pos="1831"/>
              </w:tabs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9515" cy="1199515"/>
                  <wp:effectExtent l="0" t="0" r="63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tabs>
                <w:tab w:val="left" w:pos="183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</w:t>
            </w:r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223E" w:rsidRPr="001C1AD2" w:rsidRDefault="008D223E" w:rsidP="00CB6633">
            <w:pPr>
              <w:ind w:left="30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27 Методических рекомендаций, ссылка </w:t>
            </w:r>
            <w:hyperlink r:id="rId22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Сборы и деятельность органов детского самоуправления</w:t>
            </w:r>
          </w:p>
          <w:p w:rsidR="008D223E" w:rsidRPr="001C1AD2" w:rsidRDefault="008D223E" w:rsidP="00CB66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28-30 Методических рекомендаций, ссылка </w:t>
            </w:r>
            <w:hyperlink r:id="rId23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Занятия секций, студий и кружков</w:t>
            </w:r>
          </w:p>
          <w:p w:rsidR="008D223E" w:rsidRPr="001C1AD2" w:rsidRDefault="008D223E" w:rsidP="00CB66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30-31 Методических рекомендаций, ссылка </w:t>
            </w:r>
            <w:hyperlink r:id="rId24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Тематические конкурсы и соревнования</w:t>
            </w:r>
          </w:p>
          <w:p w:rsidR="008D223E" w:rsidRPr="001C1AD2" w:rsidRDefault="008D223E" w:rsidP="00CB66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31 Методических рекомендаций, ссылка </w:t>
            </w:r>
            <w:hyperlink r:id="rId25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trHeight w:val="1295"/>
          <w:jc w:val="center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8D223E" w:rsidRPr="008D223E" w:rsidRDefault="008D223E" w:rsidP="008D223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8D223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lastRenderedPageBreak/>
              <w:t>Отрядный уровень</w:t>
            </w:r>
          </w:p>
          <w:p w:rsidR="008D223E" w:rsidRPr="001C1AD2" w:rsidRDefault="008D223E" w:rsidP="008D223E">
            <w:pPr>
              <w:pStyle w:val="a5"/>
              <w:jc w:val="center"/>
              <w:rPr>
                <w:rFonts w:eastAsia="Calibri"/>
                <w:noProof/>
              </w:rPr>
            </w:pPr>
            <w:r w:rsidRPr="008D223E">
              <w:rPr>
                <w:rFonts w:ascii="Times New Roman" w:eastAsia="Calibri" w:hAnsi="Times New Roman" w:cs="Times New Roman"/>
                <w:b/>
                <w:noProof/>
                <w:sz w:val="28"/>
              </w:rPr>
              <w:t>(инвариантные формы)</w:t>
            </w: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Утренний информационный сбор отряда</w:t>
            </w:r>
          </w:p>
          <w:p w:rsidR="008D223E" w:rsidRPr="001C1AD2" w:rsidRDefault="008D223E" w:rsidP="00CB6633">
            <w:pPr>
              <w:spacing w:before="240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31-32 Методических рекомендаций, ссылка </w:t>
            </w:r>
            <w:hyperlink r:id="rId26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Вечерний сбор отряда</w:t>
            </w:r>
          </w:p>
          <w:p w:rsidR="008D223E" w:rsidRPr="001C1AD2" w:rsidRDefault="008D223E" w:rsidP="00CB6633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31-32 Методических рекомендаций, ссылка </w:t>
            </w:r>
            <w:hyperlink r:id="rId27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Огонёк середины смены</w:t>
            </w:r>
          </w:p>
          <w:p w:rsidR="008D223E" w:rsidRPr="001C1AD2" w:rsidRDefault="008D223E" w:rsidP="00CB6633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32-34 Методических рекомендаций, ссылка </w:t>
            </w:r>
            <w:hyperlink r:id="rId28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Тематические огоньки/беседы</w:t>
            </w:r>
          </w:p>
          <w:p w:rsidR="008D223E" w:rsidRPr="001C1AD2" w:rsidRDefault="008D223E" w:rsidP="00CB6633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34 Методических рекомендаций, ссылка </w:t>
            </w:r>
            <w:hyperlink r:id="rId29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  <w:p w:rsidR="008D223E" w:rsidRPr="001C1AD2" w:rsidRDefault="008D223E" w:rsidP="00CB663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ИТОГОВЫЙ ПЕРИОД СМЕНЫ</w:t>
            </w:r>
          </w:p>
          <w:p w:rsidR="008D223E" w:rsidRPr="001C1AD2" w:rsidRDefault="008D223E" w:rsidP="008D223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Общелагерный</w:t>
            </w:r>
            <w:proofErr w:type="spellEnd"/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уровень</w:t>
            </w:r>
          </w:p>
          <w:p w:rsidR="008D223E" w:rsidRPr="001C1AD2" w:rsidRDefault="008D223E" w:rsidP="008D223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(инвариантные формы)</w:t>
            </w:r>
          </w:p>
        </w:tc>
      </w:tr>
      <w:tr w:rsidR="008D223E" w:rsidRPr="007C3754" w:rsidTr="008D223E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Линейка закрытия смены детского лагеря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D223E" w:rsidRPr="001C1AD2" w:rsidRDefault="008D223E" w:rsidP="00CB6633">
            <w:pPr>
              <w:tabs>
                <w:tab w:val="left" w:pos="1831"/>
              </w:tabs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9515" cy="1192530"/>
                  <wp:effectExtent l="0" t="0" r="63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tabs>
                <w:tab w:val="left" w:pos="183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:rsidR="008D223E" w:rsidRPr="001C1AD2" w:rsidRDefault="008D223E" w:rsidP="008D223E">
            <w:pPr>
              <w:pStyle w:val="a4"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 результатов деятельности кружков/секций</w:t>
            </w:r>
          </w:p>
          <w:p w:rsidR="008D223E" w:rsidRPr="001C1AD2" w:rsidRDefault="008D223E" w:rsidP="00CB6633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36-37 Методических рекомендаций, ссылка </w:t>
            </w:r>
            <w:hyperlink r:id="rId31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</w:tc>
      </w:tr>
      <w:tr w:rsidR="008D223E" w:rsidRPr="007C3754" w:rsidTr="008D223E">
        <w:trPr>
          <w:trHeight w:val="957"/>
          <w:jc w:val="center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8D223E" w:rsidRPr="008D223E" w:rsidRDefault="008D223E" w:rsidP="008D223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8D223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lastRenderedPageBreak/>
              <w:t>Отрядный уровень</w:t>
            </w:r>
          </w:p>
          <w:p w:rsidR="008D223E" w:rsidRPr="008D223E" w:rsidRDefault="008D223E" w:rsidP="008D223E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8D223E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(инвариантные формы)</w:t>
            </w:r>
          </w:p>
        </w:tc>
      </w:tr>
      <w:tr w:rsidR="008D223E" w:rsidRPr="007C3754" w:rsidTr="008D223E">
        <w:trPr>
          <w:jc w:val="center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Итоговый сбор отряда для детей младшего, среднего и старшего школьного возраста</w:t>
            </w:r>
          </w:p>
          <w:p w:rsidR="008D223E" w:rsidRPr="001C1AD2" w:rsidRDefault="008D223E" w:rsidP="00CB6633">
            <w:pPr>
              <w:ind w:left="360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37-38 Методических рекомендаций, ссылка </w:t>
            </w:r>
            <w:hyperlink r:id="rId32" w:history="1">
              <w:r w:rsidRPr="001C1AD2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https://kamchatkairo.ru/images/metodicheskie_rekomendacii_po_realizacii_kalendarnogo_plana_fpvr.pdf</w:t>
              </w:r>
            </w:hyperlink>
          </w:p>
        </w:tc>
      </w:tr>
      <w:tr w:rsidR="008D223E" w:rsidRPr="007C3754" w:rsidTr="008D223E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8D223E" w:rsidRPr="001C1AD2" w:rsidRDefault="008D223E" w:rsidP="008D223E">
            <w:pPr>
              <w:pStyle w:val="a4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Прощальный огонёк для детей 7-10 лет, 11-14 лет, 15-16 лет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D223E" w:rsidRPr="001C1AD2" w:rsidRDefault="008D223E" w:rsidP="00CB6633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7135" cy="1207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3E" w:rsidRPr="001C1AD2" w:rsidRDefault="008D223E" w:rsidP="00CB66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223E" w:rsidRPr="007C3754" w:rsidRDefault="008D223E" w:rsidP="008D223E">
      <w:pPr>
        <w:rPr>
          <w:rFonts w:ascii="Times New Roman" w:hAnsi="Times New Roman" w:cs="Times New Roman"/>
          <w:sz w:val="28"/>
          <w:szCs w:val="28"/>
        </w:rPr>
      </w:pPr>
    </w:p>
    <w:p w:rsidR="0062360E" w:rsidRDefault="0062360E"/>
    <w:sectPr w:rsidR="0062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24F"/>
    <w:multiLevelType w:val="hybridMultilevel"/>
    <w:tmpl w:val="0E52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227"/>
    <w:multiLevelType w:val="hybridMultilevel"/>
    <w:tmpl w:val="695A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DBA"/>
    <w:multiLevelType w:val="hybridMultilevel"/>
    <w:tmpl w:val="86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022B"/>
    <w:multiLevelType w:val="hybridMultilevel"/>
    <w:tmpl w:val="65C2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47B73"/>
    <w:multiLevelType w:val="hybridMultilevel"/>
    <w:tmpl w:val="4E68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9A"/>
    <w:multiLevelType w:val="hybridMultilevel"/>
    <w:tmpl w:val="EEC4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1FB3"/>
    <w:multiLevelType w:val="hybridMultilevel"/>
    <w:tmpl w:val="5D2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F"/>
    <w:rsid w:val="0062360E"/>
    <w:rsid w:val="008A162A"/>
    <w:rsid w:val="008D223E"/>
    <w:rsid w:val="00B85513"/>
    <w:rsid w:val="00B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A71D"/>
  <w15:chartTrackingRefBased/>
  <w15:docId w15:val="{6851C22C-D0B1-4BBD-8941-FB419B8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3E"/>
    <w:pPr>
      <w:suppressAutoHyphens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22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23E"/>
    <w:pPr>
      <w:ind w:left="720"/>
      <w:contextualSpacing/>
    </w:pPr>
  </w:style>
  <w:style w:type="paragraph" w:styleId="a5">
    <w:name w:val="No Spacing"/>
    <w:uiPriority w:val="1"/>
    <w:qFormat/>
    <w:rsid w:val="008D223E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mchatkairo.ru/images/metodicheskie_rekomendacii_po_realizacii_kalendarnogo_plana_fpvr.pdf" TargetMode="External"/><Relationship Id="rId18" Type="http://schemas.openxmlformats.org/officeDocument/2006/relationships/hyperlink" Target="https://kamchatkairo.ru/images/metodicheskie_rekomendacii_po_realizacii_kalendarnogo_plana_fpvr.pdf" TargetMode="External"/><Relationship Id="rId26" Type="http://schemas.openxmlformats.org/officeDocument/2006/relationships/hyperlink" Target="https://kamchatkairo.ru/images/metodicheskie_rekomendacii_po_realizacii_kalendarnogo_plana_fpvr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hyperlink" Target="https://kamchatkairo.ru/images/metodicheskie_rekomendacii_po_realizacii_kalendarnogo_plana_fpvr.pdf" TargetMode="External"/><Relationship Id="rId12" Type="http://schemas.openxmlformats.org/officeDocument/2006/relationships/hyperlink" Target="https://kamchatkairo.ru/images/metodicheskie_rekomendacii_po_realizacii_kalendarnogo_plana_fpvr.pdf" TargetMode="External"/><Relationship Id="rId17" Type="http://schemas.openxmlformats.org/officeDocument/2006/relationships/hyperlink" Target="https://kamchatkairo.ru/images/metodicheskie_rekomendacii_po_realizacii_kalendarnogo_plana_fpvr.pdf" TargetMode="External"/><Relationship Id="rId25" Type="http://schemas.openxmlformats.org/officeDocument/2006/relationships/hyperlink" Target="https://kamchatkairo.ru/images/metodicheskie_rekomendacii_po_realizacii_kalendarnogo_plana_fpvr.pdf" TargetMode="External"/><Relationship Id="rId33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kamchatkairo.ru/images/metodicheskie_rekomendacii_po_realizacii_kalendarnogo_plana_fpvr.pdf" TargetMode="External"/><Relationship Id="rId20" Type="http://schemas.openxmlformats.org/officeDocument/2006/relationships/hyperlink" Target="https://kamchatkairo.ru/images/metodicheskie_rekomendacii_po_realizacii_kalendarnogo_plana_fpvr.pdf" TargetMode="External"/><Relationship Id="rId29" Type="http://schemas.openxmlformats.org/officeDocument/2006/relationships/hyperlink" Target="https://kamchatkairo.ru/images/metodicheskie_rekomendacii_po_realizacii_kalendarnogo_plana_fpvr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kamchatkairo.ru/images/metodicheskie_rekomendacii_po_realizacii_kalendarnogo_plana_fpvr.pdf" TargetMode="External"/><Relationship Id="rId32" Type="http://schemas.openxmlformats.org/officeDocument/2006/relationships/hyperlink" Target="https://kamchatkairo.ru/images/metodicheskie_rekomendacii_po_realizacii_kalendarnogo_plana_fpvr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amchatkairo.ru/images/metodicheskie_rekomendacii_po_realizacii_kalendarnogo_plana_fpvr.pdf" TargetMode="External"/><Relationship Id="rId23" Type="http://schemas.openxmlformats.org/officeDocument/2006/relationships/hyperlink" Target="https://kamchatkairo.ru/images/metodicheskie_rekomendacii_po_realizacii_kalendarnogo_plana_fpvr.pdf" TargetMode="External"/><Relationship Id="rId28" Type="http://schemas.openxmlformats.org/officeDocument/2006/relationships/hyperlink" Target="https://kamchatkairo.ru/images/metodicheskie_rekomendacii_po_realizacii_kalendarnogo_plana_fpvr.pdf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kamchatkairo.ru/images/metodicheskie_rekomendacii_po_realizacii_kalendarnogo_plana_fpvr.pdf" TargetMode="External"/><Relationship Id="rId31" Type="http://schemas.openxmlformats.org/officeDocument/2006/relationships/hyperlink" Target="https://kamchatkairo.ru/images/metodicheskie_rekomendacii_po_realizacii_kalendarnogo_plana_fpv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kamchatkairo.ru/images/metodicheskie_rekomendacii_po_realizacii_kalendarnogo_plana_fpvr.pdf" TargetMode="External"/><Relationship Id="rId22" Type="http://schemas.openxmlformats.org/officeDocument/2006/relationships/hyperlink" Target="https://kamchatkairo.ru/images/metodicheskie_rekomendacii_po_realizacii_kalendarnogo_plana_fpvr.pdf" TargetMode="External"/><Relationship Id="rId27" Type="http://schemas.openxmlformats.org/officeDocument/2006/relationships/hyperlink" Target="https://kamchatkairo.ru/images/metodicheskie_rekomendacii_po_realizacii_kalendarnogo_plana_fpvr.pdf" TargetMode="External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Резанова</dc:creator>
  <cp:keywords/>
  <dc:description/>
  <cp:lastModifiedBy>Любовь Резанова</cp:lastModifiedBy>
  <cp:revision>3</cp:revision>
  <dcterms:created xsi:type="dcterms:W3CDTF">2025-04-21T22:57:00Z</dcterms:created>
  <dcterms:modified xsi:type="dcterms:W3CDTF">2025-04-29T04:02:00Z</dcterms:modified>
</cp:coreProperties>
</file>